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b460-7"/>
    <w:p>
      <w:pPr>
        <w:pStyle w:val="Heading4"/>
      </w:pPr>
      <w:r>
        <w:t xml:space="preserve">Correas</w:t>
      </w:r>
      <w:r>
        <w:t xml:space="preserve"> </w:t>
      </w:r>
      <w:r>
        <w:rPr>
          <w:i/>
          <w:iCs/>
        </w:rPr>
        <w:t xml:space="preserve">vs.</w:t>
      </w:r>
      <w:r>
        <w:t xml:space="preserve"> </w:t>
      </w:r>
      <w:r>
        <w:t xml:space="preserve">The City of San Francisco.</w:t>
      </w:r>
    </w:p>
    <w:p>
      <w:pPr>
        <w:pStyle w:val="FirstParagraph"/>
      </w:pPr>
      <w:r>
        <w:t xml:space="preserve">The case of</w:t>
      </w:r>
      <w:r>
        <w:t xml:space="preserve"> </w:t>
      </w:r>
      <w:r>
        <w:rPr>
          <w:i/>
          <w:iCs/>
        </w:rPr>
        <w:t xml:space="preserve">Dunbar</w:t>
      </w:r>
      <w:r>
        <w:t xml:space="preserve"> </w:t>
      </w:r>
      <w:r>
        <w:t xml:space="preserve">v.</w:t>
      </w:r>
      <w:r>
        <w:t xml:space="preserve"> </w:t>
      </w:r>
      <w:r>
        <w:rPr>
          <w:i/>
          <w:iCs/>
        </w:rPr>
        <w:t xml:space="preserve">The Ayuntamiento of San</w:t>
      </w:r>
      <w:r>
        <w:t xml:space="preserve"> </w:t>
      </w:r>
      <w:r>
        <w:t xml:space="preserve">Francisco,</w:t>
      </w:r>
      <w:r>
        <w:t xml:space="preserve"> </w:t>
      </w:r>
      <w:r>
        <w:rPr>
          <w:i/>
          <w:iCs/>
        </w:rPr>
        <w:t xml:space="preserve">(ante, p.</w:t>
      </w:r>
      <w:r>
        <w:t xml:space="preserve"> </w:t>
      </w:r>
      <w:r>
        <w:t xml:space="preserve">355,) affirmed.</w:t>
      </w:r>
    </w:p>
    <w:bookmarkEnd w:id="20"/>
    <w:p>
      <w:pPr>
        <w:pStyle w:val="BodyText"/>
      </w:pPr>
      <w:r>
        <w:rPr>
          <w:i/>
          <w:iCs/>
        </w:rPr>
        <w:t xml:space="preserve">By the Court,</w:t>
      </w:r>
    </w:p>
    <w:p>
      <w:pPr>
        <w:pStyle w:val="BodyText"/>
      </w:pPr>
      <w:r>
        <w:t xml:space="preserve">BerNett, J.</w:t>
      </w:r>
    </w:p>
    <w:p>
      <w:pPr>
        <w:pStyle w:val="BodyText"/>
      </w:pPr>
      <w:r>
        <w:t xml:space="preserve">This action was brought to recover damages sustained from the pulling down of a building by order of the mayor during the raging of a fire. We held in the case of</w:t>
      </w:r>
      <w:r>
        <w:t xml:space="preserve"> </w:t>
      </w:r>
      <w:r>
        <w:rPr>
          <w:i/>
          <w:iCs/>
        </w:rPr>
        <w:t xml:space="preserve">Dunbar</w:t>
      </w:r>
      <w:r>
        <w:t xml:space="preserve"> </w:t>
      </w:r>
      <w:r>
        <w:t xml:space="preserve">v.</w:t>
      </w:r>
      <w:r>
        <w:t xml:space="preserve"> </w:t>
      </w:r>
      <w:r>
        <w:rPr>
          <w:i/>
          <w:iCs/>
        </w:rPr>
        <w:t xml:space="preserve">The Ayuntamiento of San Francisco</w:t>
      </w:r>
      <w:r>
        <w:t xml:space="preserve"> </w:t>
      </w:r>
      <w:r>
        <w:t xml:space="preserve">that the city was not liable for a similar act of the Alcalde. The principle there decided controls this case, and the judgment should, consequently, be reversed.</w:t>
      </w:r>
    </w:p>
    <w:p>
      <w:pPr>
        <w:pStyle w:val="BodyText"/>
      </w:pPr>
      <w:r>
        <w:t xml:space="preserve">Ordered accordingly.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2025-03-01T23:17:33Z</dcterms:created>
  <dcterms:modified xsi:type="dcterms:W3CDTF">2025-03-01T23:17:33Z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